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二十一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1.升旗仪式——学期回望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2.班会：期末考试动员和诚信教育；布置期末工作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3.校长办公例会；食堂安全专题会议；各处室处务会；年级工作例会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4.各年级期末模拟考试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十届二次教代会暨十三届二次工代会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提交申请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1.各学科复习计划进行情况检查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</w:rPr>
              <w:t>班委会工作总结材料上交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3.十届二次教代会暨十三届二次工代会材料准备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4.艺术节获奖证书分发到班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1.复习周安排意见征集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</w:rPr>
              <w:t>综评结果公示上报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3.食堂净菜供应方案研究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4.服务购买人员2023年度考核工作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4"/>
              </w:rPr>
              <w:t>期末考试考务安排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2.综评纸质材料归档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采购、维修等相关项目全面结账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2024年工会会员春节慰问品提货券准备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5.执勤岗证明单发放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leftChars="0" w:hanging="238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1月19日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收集班主任工作手册、家访手册、全员育人导师制工作手册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年度总结、考核评价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2024年工会会员春节慰问品提货券发放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5.教职工2023年度考核工作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3.2024年工会会员慰问品提货券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发放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.2023-2024上半学期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各部门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总结收集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各部门学期末工作安排汇总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6.服务购买人员2023年度考核工作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0F354A4"/>
    <w:rsid w:val="040D1B23"/>
    <w:rsid w:val="046E2416"/>
    <w:rsid w:val="07385B66"/>
    <w:rsid w:val="07EB560A"/>
    <w:rsid w:val="082657EF"/>
    <w:rsid w:val="0F883152"/>
    <w:rsid w:val="110D547A"/>
    <w:rsid w:val="13B21189"/>
    <w:rsid w:val="19A77BED"/>
    <w:rsid w:val="1AF93C5C"/>
    <w:rsid w:val="1BCE1A6A"/>
    <w:rsid w:val="1C8D322A"/>
    <w:rsid w:val="1DB93A9A"/>
    <w:rsid w:val="1E104643"/>
    <w:rsid w:val="1FD35185"/>
    <w:rsid w:val="2248392C"/>
    <w:rsid w:val="254120D4"/>
    <w:rsid w:val="28556D0E"/>
    <w:rsid w:val="29216E98"/>
    <w:rsid w:val="2B29497B"/>
    <w:rsid w:val="2D105F7D"/>
    <w:rsid w:val="2FA15DB5"/>
    <w:rsid w:val="3014663C"/>
    <w:rsid w:val="31204C72"/>
    <w:rsid w:val="340C1AC9"/>
    <w:rsid w:val="35F548C3"/>
    <w:rsid w:val="366F529E"/>
    <w:rsid w:val="37E243CC"/>
    <w:rsid w:val="38001C1E"/>
    <w:rsid w:val="39177AD5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CEC7326"/>
    <w:rsid w:val="4D1B77D3"/>
    <w:rsid w:val="4E783C66"/>
    <w:rsid w:val="4F1E4E8D"/>
    <w:rsid w:val="4F365F84"/>
    <w:rsid w:val="50AA71CB"/>
    <w:rsid w:val="52C3652D"/>
    <w:rsid w:val="5BD22CB3"/>
    <w:rsid w:val="60C70C71"/>
    <w:rsid w:val="6ED946E3"/>
    <w:rsid w:val="71172F17"/>
    <w:rsid w:val="73C119DE"/>
    <w:rsid w:val="76A22F2E"/>
    <w:rsid w:val="784762A9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0</TotalTime>
  <ScaleCrop>false</ScaleCrop>
  <LinksUpToDate>false</LinksUpToDate>
  <CharactersWithSpaces>659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包包包包云</cp:lastModifiedBy>
  <cp:lastPrinted>2023-11-30T07:23:00Z</cp:lastPrinted>
  <dcterms:modified xsi:type="dcterms:W3CDTF">2024-01-12T08:13:53Z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765D9F187AA8438F84D1E2AC72EE23AB_13</vt:lpwstr>
  </property>
</Properties>
</file>